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Eddie Brisoe, Mathew Duyvelaar, Daniel King, Renier Luces, Rachel Quijano, Sybille Reiz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5:15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5:30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firstLine="360"/>
        <w:rPr>
          <w:u w:val="none"/>
        </w:rPr>
      </w:pPr>
      <w:r w:rsidDel="00000000" w:rsidR="00000000" w:rsidRPr="00000000">
        <w:rPr>
          <w:rtl w:val="0"/>
        </w:rPr>
        <w:t xml:space="preserve">User Story 12: Create Account View and About section in FAQ view (10)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User Story 11: Add location services to map: (5)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User Story 10: Add functionality to the search bar in the map screen: (10)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User Story 13: Begin Collection View for FAQ Section: (10)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User Story 15:  Add a modal screen for a user to confirm placing a pin: (5)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14: Upload pins to database: (10) </w:t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